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  <w:r w:rsidR="00B84D81">
        <w:rPr>
          <w:b/>
          <w:color w:val="000000"/>
          <w:sz w:val="28"/>
          <w:szCs w:val="28"/>
        </w:rPr>
        <w:t xml:space="preserve"> </w:t>
      </w:r>
      <w:r w:rsidR="00D1243D">
        <w:rPr>
          <w:b/>
          <w:color w:val="000000"/>
          <w:sz w:val="28"/>
          <w:szCs w:val="28"/>
        </w:rPr>
        <w:t xml:space="preserve">за период </w:t>
      </w:r>
      <w:r w:rsidR="00E61C97" w:rsidRPr="00E61C97">
        <w:rPr>
          <w:b/>
          <w:color w:val="000000"/>
          <w:sz w:val="28"/>
          <w:szCs w:val="28"/>
        </w:rPr>
        <w:t>с 09.01 по 15.01.2023</w:t>
      </w:r>
    </w:p>
    <w:p w:rsidR="008F4B60" w:rsidRPr="00CA18B1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E61C97" w:rsidRPr="00E61C97" w:rsidRDefault="008F4B60" w:rsidP="00E61C97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438CC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6226C" w:rsidRPr="00B438CC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E61C97" w:rsidRPr="00E61C97">
        <w:rPr>
          <w:rFonts w:ascii="Times New Roman" w:hAnsi="Times New Roman" w:cs="Times New Roman"/>
          <w:sz w:val="28"/>
          <w:szCs w:val="28"/>
        </w:rPr>
        <w:t>с 09.01 по 15.01.2023:</w:t>
      </w:r>
    </w:p>
    <w:p w:rsidR="00E61C97" w:rsidRPr="00E61C97" w:rsidRDefault="00E61C97" w:rsidP="00E61C97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1C97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– 136, из них в электронном виде - 124, что составляет 91,2 % от общего количества заявлений;</w:t>
      </w:r>
    </w:p>
    <w:p w:rsidR="004B01AA" w:rsidRDefault="00E61C97" w:rsidP="00E61C97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 w:rsidRPr="00E61C97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 при взаимодействии с кредитными организациями – 270, из них в электронном виде - 230, что составляет 85,1 % от общего количества заявлений.</w:t>
      </w:r>
    </w:p>
    <w:p w:rsidR="004B01AA" w:rsidRDefault="004B01A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5A00" w:rsidRDefault="005B5A0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54EEE"/>
    <w:rsid w:val="00A6364E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1243D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1C97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2023-01-20T19:09:00Z</dcterms:created>
  <dcterms:modified xsi:type="dcterms:W3CDTF">2023-01-20T19:09:00Z</dcterms:modified>
</cp:coreProperties>
</file>